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3"/>
        <w:tblpPr w:leftFromText="180" w:rightFromText="180" w:vertAnchor="page" w:horzAnchor="margin" w:tblpY="361"/>
        <w:tblW w:w="15849"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ook w:val="04A0" w:firstRow="1" w:lastRow="0" w:firstColumn="1" w:lastColumn="0" w:noHBand="0" w:noVBand="1"/>
      </w:tblPr>
      <w:tblGrid>
        <w:gridCol w:w="712"/>
        <w:gridCol w:w="1662"/>
        <w:gridCol w:w="1680"/>
        <w:gridCol w:w="1826"/>
        <w:gridCol w:w="1682"/>
        <w:gridCol w:w="1682"/>
        <w:gridCol w:w="1684"/>
        <w:gridCol w:w="1542"/>
        <w:gridCol w:w="1542"/>
        <w:gridCol w:w="1837"/>
      </w:tblGrid>
      <w:tr w:rsidR="009C2623" w:rsidTr="0074728E">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849" w:type="dxa"/>
            <w:gridSpan w:val="10"/>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EEAF6" w:themeFill="accent1" w:themeFillTint="33"/>
          </w:tcPr>
          <w:p w:rsidR="009C2623" w:rsidRPr="0068216A" w:rsidRDefault="00196AE4" w:rsidP="00196AE4">
            <w:pPr>
              <w:rPr>
                <w:sz w:val="36"/>
                <w:szCs w:val="36"/>
              </w:rPr>
            </w:pPr>
            <w:r w:rsidRPr="00196AE4">
              <w:rPr>
                <w:noProof/>
                <w:color w:val="525252" w:themeColor="accent3" w:themeShade="80"/>
                <w:sz w:val="30"/>
                <w:szCs w:val="30"/>
                <w:lang w:eastAsia="en-NZ"/>
              </w:rPr>
              <mc:AlternateContent>
                <mc:Choice Requires="wps">
                  <w:drawing>
                    <wp:anchor distT="0" distB="0" distL="114300" distR="114300" simplePos="0" relativeHeight="251660288" behindDoc="0" locked="0" layoutInCell="1" allowOverlap="1" wp14:anchorId="6C6EE6F7" wp14:editId="759F75FC">
                      <wp:simplePos x="0" y="0"/>
                      <wp:positionH relativeFrom="column">
                        <wp:posOffset>6739471</wp:posOffset>
                      </wp:positionH>
                      <wp:positionV relativeFrom="paragraph">
                        <wp:posOffset>87103</wp:posOffset>
                      </wp:positionV>
                      <wp:extent cx="0" cy="215660"/>
                      <wp:effectExtent l="57150" t="38100" r="57150" b="13335"/>
                      <wp:wrapNone/>
                      <wp:docPr id="1" name="Straight Arrow Connector 1"/>
                      <wp:cNvGraphicFramePr/>
                      <a:graphic xmlns:a="http://schemas.openxmlformats.org/drawingml/2006/main">
                        <a:graphicData uri="http://schemas.microsoft.com/office/word/2010/wordprocessingShape">
                          <wps:wsp>
                            <wps:cNvCnPr/>
                            <wps:spPr>
                              <a:xfrm flipV="1">
                                <a:off x="0" y="0"/>
                                <a:ext cx="0" cy="215660"/>
                              </a:xfrm>
                              <a:prstGeom prst="straightConnector1">
                                <a:avLst/>
                              </a:prstGeom>
                              <a:ln w="28575">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35CD20" id="_x0000_t32" coordsize="21600,21600" o:spt="32" o:oned="t" path="m,l21600,21600e" filled="f">
                      <v:path arrowok="t" fillok="f" o:connecttype="none"/>
                      <o:lock v:ext="edit" shapetype="t"/>
                    </v:shapetype>
                    <v:shape id="Straight Arrow Connector 1" o:spid="_x0000_s1026" type="#_x0000_t32" style="position:absolute;margin-left:530.65pt;margin-top:6.85pt;width:0;height: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IfEQIAAIEEAAAOAAAAZHJzL2Uyb0RvYy54bWysVE1vGyEQvVfqf0B7r3ftym5keR1VTtNL&#10;P6ym6Z2w4EUCBg3Ea//7DrDeNG0vqXrBy8B7M+/N4M31yRp2lBg0uLaaz5qKSSeg0+7QVvffb99c&#10;VSxE7jpuwMm2OstQXW9fv9oMfi0X0IPpJDIicWE9+LbqY/Trug6il5aHGXjp6FABWh5pi4e6Qz4Q&#10;uzX1omlW9QDYeQQhQ6DoTTmstplfKSniV6WCjMy0FdUW84p5fUhrvd3w9QG577UYy+D/UIXl2lHS&#10;ieqGR84eUf9BZbVACKDiTICtQSktZNZAaubNb2rueu5l1kLmBD/ZFP4frfhy3CPTHfWuYo5batFd&#10;RK4PfWTvEWFgO3CObARk8+TW4MOaQDu3x3EX/B6T9JNCy5TR/kciSxGSx07Z6/PktTxFJkpQUHQx&#10;X65WuQ11YUg4jyF+lGBZ+mirMBY0VVLY+fFTiFQDAS+ABDaODcR7tXy3zEUEMLq71cakwzxXcmeQ&#10;HTlNRDwVKvNoP0NXYqtl04xzQWGanhJ+ewlTuoklJ3+WIHJtPriOxbMnKyNq7g5GJuMIZxz9JAOL&#10;Zfkrno0sZX+TihpB1pSapiQlPxdCuphbkJnodoIpEjYBmyI4vZ0njc+B4/0Elfl5vAQ8IXJmcHEC&#10;W+0A/5Y9OVzEq3L/4kDRnSx4gO6chylbQ3OevRrfZHpIv+4z/OmfY/sTAAD//wMAUEsDBBQABgAI&#10;AAAAIQCDDHjp4AAAAAsBAAAPAAAAZHJzL2Rvd25yZXYueG1sTI/NTsMwEITvSLyDtUhcEHVKUVNC&#10;nIryI1XiAqUSHN14mwTidRS7qXl7NuIAx9mdnf0mX0bbigF73zhSMJ0kIJBKZxqqFGzfni4XIHzQ&#10;ZHTrCBV8o4dlcXqS68y4I73isAmV4BDymVZQh9BlUvqyRqv9xHVIvNu73urAsq+k6fWRw20rr5Jk&#10;Lq1uiD/UusP7GsuvzcEyxmybxoW9eL55Hz4f9o+r9UtcfSh1fhbvbkEEjOHPDCM+30DBTDt3IONF&#10;yzqZT2fsHdNSEKPjd7JTcJ2mIItc/u9Q/AAAAP//AwBQSwECLQAUAAYACAAAACEAtoM4kv4AAADh&#10;AQAAEwAAAAAAAAAAAAAAAAAAAAAAW0NvbnRlbnRfVHlwZXNdLnhtbFBLAQItABQABgAIAAAAIQA4&#10;/SH/1gAAAJQBAAALAAAAAAAAAAAAAAAAAC8BAABfcmVscy8ucmVsc1BLAQItABQABgAIAAAAIQA7&#10;CeIfEQIAAIEEAAAOAAAAAAAAAAAAAAAAAC4CAABkcnMvZTJvRG9jLnhtbFBLAQItABQABgAIAAAA&#10;IQCDDHjp4AAAAAsBAAAPAAAAAAAAAAAAAAAAAGsEAABkcnMvZG93bnJldi54bWxQSwUGAAAAAAQA&#10;BADzAAAAeAUAAAAA&#10;" strokecolor="#5a5a5a [2109]" strokeweight="2.25pt">
                      <v:stroke endarrow="block" joinstyle="miter"/>
                    </v:shape>
                  </w:pict>
                </mc:Fallback>
              </mc:AlternateContent>
            </w:r>
            <w:r w:rsidR="009C2623" w:rsidRPr="00196AE4">
              <w:rPr>
                <w:color w:val="525252" w:themeColor="accent3" w:themeShade="80"/>
                <w:sz w:val="30"/>
                <w:szCs w:val="30"/>
              </w:rPr>
              <w:t>Health Promotion in Tertiary Settings: reducing alcohol-related harm</w:t>
            </w:r>
            <w:r w:rsidR="009C2623" w:rsidRPr="007523F3">
              <w:rPr>
                <w:color w:val="525252" w:themeColor="accent3" w:themeShade="80"/>
                <w:sz w:val="32"/>
                <w:szCs w:val="32"/>
              </w:rPr>
              <w:t xml:space="preserve"> </w:t>
            </w:r>
            <w:r>
              <w:rPr>
                <w:color w:val="525252" w:themeColor="accent3" w:themeShade="80"/>
                <w:sz w:val="32"/>
                <w:szCs w:val="32"/>
              </w:rPr>
              <w:t xml:space="preserve">  </w:t>
            </w:r>
            <w:r w:rsidRPr="00196AE4">
              <w:rPr>
                <w:color w:val="525252" w:themeColor="accent3" w:themeShade="80"/>
                <w:sz w:val="36"/>
                <w:szCs w:val="36"/>
              </w:rPr>
              <w:t>√</w:t>
            </w:r>
            <w:r>
              <w:rPr>
                <w:color w:val="525252" w:themeColor="accent3" w:themeShade="80"/>
                <w:sz w:val="32"/>
                <w:szCs w:val="32"/>
              </w:rPr>
              <w:t xml:space="preserve"> </w:t>
            </w:r>
            <w:r w:rsidR="007523F3" w:rsidRPr="007523F3">
              <w:rPr>
                <w:color w:val="525252" w:themeColor="accent3" w:themeShade="80"/>
                <w:sz w:val="20"/>
                <w:szCs w:val="20"/>
              </w:rPr>
              <w:t>We’re doing this</w:t>
            </w:r>
            <w:r>
              <w:rPr>
                <w:color w:val="525252" w:themeColor="accent3" w:themeShade="80"/>
                <w:sz w:val="20"/>
                <w:szCs w:val="20"/>
              </w:rPr>
              <w:t xml:space="preserve"> </w:t>
            </w:r>
            <w:r w:rsidR="00C74CDE">
              <w:rPr>
                <w:color w:val="525252" w:themeColor="accent3" w:themeShade="80"/>
                <w:sz w:val="20"/>
                <w:szCs w:val="20"/>
              </w:rPr>
              <w:t xml:space="preserve">  </w:t>
            </w:r>
            <w:r>
              <w:rPr>
                <w:color w:val="525252" w:themeColor="accent3" w:themeShade="80"/>
                <w:sz w:val="20"/>
                <w:szCs w:val="20"/>
              </w:rPr>
              <w:t xml:space="preserve">    </w:t>
            </w:r>
            <w:r>
              <w:rPr>
                <w:color w:val="525252" w:themeColor="accent3" w:themeShade="80"/>
                <w:sz w:val="20"/>
                <w:szCs w:val="20"/>
              </w:rPr>
              <w:t>Could d</w:t>
            </w:r>
            <w:r>
              <w:rPr>
                <w:color w:val="525252" w:themeColor="accent3" w:themeShade="80"/>
                <w:sz w:val="20"/>
                <w:szCs w:val="20"/>
              </w:rPr>
              <w:t>o more</w:t>
            </w:r>
            <w:r>
              <w:rPr>
                <w:color w:val="525252" w:themeColor="accent3" w:themeShade="80"/>
                <w:sz w:val="20"/>
                <w:szCs w:val="20"/>
              </w:rPr>
              <w:t xml:space="preserve">   </w:t>
            </w:r>
            <w:r w:rsidRPr="00196AE4">
              <w:rPr>
                <w:color w:val="525252" w:themeColor="accent3" w:themeShade="80"/>
                <w:sz w:val="40"/>
                <w:szCs w:val="40"/>
              </w:rPr>
              <w:sym w:font="Symbol" w:char="F02A"/>
            </w:r>
            <w:r>
              <w:rPr>
                <w:color w:val="525252" w:themeColor="accent3" w:themeShade="80"/>
                <w:sz w:val="20"/>
                <w:szCs w:val="20"/>
              </w:rPr>
              <w:t xml:space="preserve">Follow </w:t>
            </w:r>
            <w:r>
              <w:rPr>
                <w:color w:val="525252" w:themeColor="accent3" w:themeShade="80"/>
                <w:sz w:val="20"/>
                <w:szCs w:val="20"/>
              </w:rPr>
              <w:t xml:space="preserve">this </w:t>
            </w:r>
            <w:r>
              <w:rPr>
                <w:color w:val="525252" w:themeColor="accent3" w:themeShade="80"/>
                <w:sz w:val="20"/>
                <w:szCs w:val="20"/>
              </w:rPr>
              <w:t xml:space="preserve">up   </w:t>
            </w:r>
            <w:r w:rsidRPr="007523F3">
              <w:rPr>
                <w:color w:val="525252" w:themeColor="accent3" w:themeShade="80"/>
                <w:sz w:val="32"/>
                <w:szCs w:val="32"/>
              </w:rPr>
              <w:t>?</w:t>
            </w:r>
            <w:r>
              <w:rPr>
                <w:color w:val="525252" w:themeColor="accent3" w:themeShade="80"/>
                <w:sz w:val="20"/>
                <w:szCs w:val="20"/>
              </w:rPr>
              <w:t xml:space="preserve"> Who? When? How?</w:t>
            </w:r>
            <w:r w:rsidRPr="00C74CDE">
              <w:rPr>
                <w:color w:val="525252" w:themeColor="accent3" w:themeShade="80"/>
                <w:sz w:val="20"/>
                <w:szCs w:val="20"/>
              </w:rPr>
              <w:t xml:space="preserve"> </w:t>
            </w:r>
            <w:r>
              <w:rPr>
                <w:color w:val="525252" w:themeColor="accent3" w:themeShade="80"/>
                <w:sz w:val="20"/>
                <w:szCs w:val="20"/>
              </w:rPr>
              <w:t xml:space="preserve"> </w:t>
            </w:r>
          </w:p>
        </w:tc>
      </w:tr>
      <w:tr w:rsidR="009C2623" w:rsidTr="0074728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5849" w:type="dxa"/>
            <w:gridSpan w:val="10"/>
            <w:tcBorders>
              <w:top w:val="single" w:sz="12" w:space="0" w:color="A5A5A5" w:themeColor="accent3"/>
              <w:left w:val="single" w:sz="12" w:space="0" w:color="A5A5A5" w:themeColor="accent3"/>
              <w:bottom w:val="single" w:sz="12" w:space="0" w:color="C9C9C9"/>
              <w:right w:val="single" w:sz="12" w:space="0" w:color="A5A5A5" w:themeColor="accent3"/>
            </w:tcBorders>
          </w:tcPr>
          <w:p w:rsidR="009C2623" w:rsidRPr="00331BE0" w:rsidRDefault="009C2623" w:rsidP="00362B2D">
            <w:pPr>
              <w:spacing w:before="40" w:after="40"/>
              <w:rPr>
                <w:sz w:val="18"/>
                <w:szCs w:val="18"/>
              </w:rPr>
            </w:pPr>
            <w:r w:rsidRPr="00331BE0">
              <w:rPr>
                <w:sz w:val="18"/>
                <w:szCs w:val="18"/>
              </w:rPr>
              <w:t xml:space="preserve">Thinking about next steps: Reflect on your vision. Consider your current strengths - what is working really well? Who do you need to talk to?  Who do you most need to influence? What are the barriers and opportunities that you are aware of? Where do you need to focus your energy? What is your very next step? </w:t>
            </w:r>
            <w:r w:rsidR="00E02711" w:rsidRPr="00331BE0">
              <w:rPr>
                <w:sz w:val="18"/>
                <w:szCs w:val="18"/>
              </w:rPr>
              <w:t>What else do you need to know?</w:t>
            </w:r>
          </w:p>
        </w:tc>
      </w:tr>
      <w:tr w:rsidR="0074728E" w:rsidTr="0074728E">
        <w:trPr>
          <w:trHeight w:val="1094"/>
        </w:trPr>
        <w:tc>
          <w:tcPr>
            <w:cnfStyle w:val="001000000000" w:firstRow="0" w:lastRow="0" w:firstColumn="1" w:lastColumn="0" w:oddVBand="0" w:evenVBand="0" w:oddHBand="0" w:evenHBand="0" w:firstRowFirstColumn="0" w:firstRowLastColumn="0" w:lastRowFirstColumn="0" w:lastRowLastColumn="0"/>
            <w:tcW w:w="712" w:type="dxa"/>
            <w:tcBorders>
              <w:top w:val="single" w:sz="12" w:space="0" w:color="A5A5A5" w:themeColor="accent3"/>
              <w:left w:val="single" w:sz="12" w:space="0" w:color="A5A5A5" w:themeColor="accent3"/>
              <w:bottom w:val="single" w:sz="12" w:space="0" w:color="A5A5A5" w:themeColor="accent3"/>
            </w:tcBorders>
            <w:textDirection w:val="btLr"/>
          </w:tcPr>
          <w:p w:rsidR="009C2623" w:rsidRPr="00362B2D" w:rsidRDefault="009C2623" w:rsidP="009C2623">
            <w:pPr>
              <w:ind w:left="113" w:right="113"/>
              <w:rPr>
                <w:b w:val="0"/>
                <w:sz w:val="18"/>
                <w:szCs w:val="18"/>
              </w:rPr>
            </w:pPr>
            <w:r w:rsidRPr="007523F3">
              <w:rPr>
                <w:color w:val="525252" w:themeColor="accent3" w:themeShade="80"/>
                <w:sz w:val="18"/>
                <w:szCs w:val="18"/>
              </w:rPr>
              <w:t>Key Principles</w:t>
            </w:r>
          </w:p>
        </w:tc>
        <w:tc>
          <w:tcPr>
            <w:tcW w:w="1662"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Use a whole of setting approach</w:t>
            </w:r>
          </w:p>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p>
        </w:tc>
        <w:tc>
          <w:tcPr>
            <w:tcW w:w="1680"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 xml:space="preserve">Ensure comprehensive campus-wide approaches </w:t>
            </w:r>
          </w:p>
        </w:tc>
        <w:tc>
          <w:tcPr>
            <w:tcW w:w="1826"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Use participatory approaches  – engage the voice of students and others</w:t>
            </w:r>
          </w:p>
        </w:tc>
        <w:tc>
          <w:tcPr>
            <w:tcW w:w="1682"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Develop trans-disciplinary collaborations</w:t>
            </w:r>
          </w:p>
        </w:tc>
        <w:tc>
          <w:tcPr>
            <w:tcW w:w="1682"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Develop cross-sector partnerships and collaborations</w:t>
            </w:r>
          </w:p>
        </w:tc>
        <w:tc>
          <w:tcPr>
            <w:tcW w:w="1684"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Build on your strengths</w:t>
            </w:r>
          </w:p>
        </w:tc>
        <w:tc>
          <w:tcPr>
            <w:tcW w:w="1542" w:type="dxa"/>
            <w:tcBorders>
              <w:top w:val="single" w:sz="12" w:space="0" w:color="A5A5A5" w:themeColor="accent3"/>
              <w:bottom w:val="single" w:sz="12" w:space="0" w:color="A5A5A5" w:themeColor="accent3"/>
            </w:tcBorders>
            <w:shd w:val="clear" w:color="auto" w:fill="auto"/>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Incorporate the needs and priorities of Māori</w:t>
            </w:r>
          </w:p>
        </w:tc>
        <w:tc>
          <w:tcPr>
            <w:tcW w:w="1542" w:type="dxa"/>
            <w:tcBorders>
              <w:top w:val="single" w:sz="12" w:space="0" w:color="A5A5A5" w:themeColor="accent3"/>
              <w:bottom w:val="single" w:sz="12" w:space="0" w:color="A5A5A5" w:themeColor="accent3"/>
            </w:tcBorders>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Prioritise equity and social justice concerns</w:t>
            </w:r>
          </w:p>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p>
        </w:tc>
        <w:tc>
          <w:tcPr>
            <w:tcW w:w="1825" w:type="dxa"/>
            <w:tcBorders>
              <w:top w:val="single" w:sz="12" w:space="0" w:color="A5A5A5" w:themeColor="accent3"/>
              <w:bottom w:val="single" w:sz="12" w:space="0" w:color="A5A5A5" w:themeColor="accent3"/>
              <w:right w:val="single" w:sz="12" w:space="0" w:color="A5A5A5" w:themeColor="accent3"/>
            </w:tcBorders>
          </w:tcPr>
          <w:p w:rsidR="009C2623" w:rsidRPr="007523F3" w:rsidRDefault="009C2623" w:rsidP="009C2623">
            <w:pPr>
              <w:cnfStyle w:val="000000000000" w:firstRow="0" w:lastRow="0" w:firstColumn="0" w:lastColumn="0" w:oddVBand="0" w:evenVBand="0" w:oddHBand="0" w:evenHBand="0" w:firstRowFirstColumn="0" w:firstRowLastColumn="0" w:lastRowFirstColumn="0" w:lastRowLastColumn="0"/>
              <w:rPr>
                <w:sz w:val="18"/>
                <w:szCs w:val="18"/>
              </w:rPr>
            </w:pPr>
            <w:r w:rsidRPr="007523F3">
              <w:rPr>
                <w:sz w:val="18"/>
                <w:szCs w:val="18"/>
              </w:rPr>
              <w:t>Use a quality improvement approach</w:t>
            </w:r>
          </w:p>
        </w:tc>
      </w:tr>
      <w:tr w:rsidR="009C2623" w:rsidTr="0074728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849" w:type="dxa"/>
            <w:gridSpan w:val="10"/>
            <w:tcBorders>
              <w:left w:val="single" w:sz="12" w:space="0" w:color="A5A5A5" w:themeColor="accent3"/>
              <w:right w:val="single" w:sz="12" w:space="0" w:color="A5A5A5" w:themeColor="accent3"/>
            </w:tcBorders>
          </w:tcPr>
          <w:p w:rsidR="009C2623" w:rsidRPr="00331BE0" w:rsidRDefault="009C2623" w:rsidP="00362B2D">
            <w:pPr>
              <w:spacing w:before="40" w:after="40"/>
              <w:rPr>
                <w:sz w:val="18"/>
                <w:szCs w:val="18"/>
              </w:rPr>
            </w:pPr>
            <w:r w:rsidRPr="007523F3">
              <w:rPr>
                <w:color w:val="525252" w:themeColor="accent3" w:themeShade="80"/>
                <w:sz w:val="18"/>
                <w:szCs w:val="18"/>
              </w:rPr>
              <w:t>Include multiple interventions implemented in a systematic way; focus on environmental-level strategies, but also think about how best to support individual students</w:t>
            </w:r>
          </w:p>
        </w:tc>
      </w:tr>
      <w:tr w:rsidR="00331BE0" w:rsidTr="00196AE4">
        <w:trPr>
          <w:trHeight w:val="8068"/>
        </w:trPr>
        <w:tc>
          <w:tcPr>
            <w:cnfStyle w:val="001000000000" w:firstRow="0" w:lastRow="0" w:firstColumn="1" w:lastColumn="0" w:oddVBand="0" w:evenVBand="0" w:oddHBand="0" w:evenHBand="0" w:firstRowFirstColumn="0" w:firstRowLastColumn="0" w:lastRowFirstColumn="0" w:lastRowLastColumn="0"/>
            <w:tcW w:w="712" w:type="dxa"/>
            <w:tcBorders>
              <w:top w:val="single" w:sz="12" w:space="0" w:color="A5A5A5" w:themeColor="accent3"/>
              <w:left w:val="single" w:sz="12" w:space="0" w:color="A5A5A5" w:themeColor="accent3"/>
            </w:tcBorders>
            <w:shd w:val="clear" w:color="auto" w:fill="FFFFFF" w:themeFill="background1"/>
            <w:textDirection w:val="btLr"/>
          </w:tcPr>
          <w:p w:rsidR="00331BE0" w:rsidRPr="007523F3" w:rsidRDefault="00331BE0" w:rsidP="00362B2D">
            <w:pPr>
              <w:ind w:left="113" w:right="113"/>
              <w:rPr>
                <w:bCs w:val="0"/>
                <w:color w:val="525252" w:themeColor="accent3" w:themeShade="80"/>
                <w:sz w:val="20"/>
                <w:szCs w:val="20"/>
              </w:rPr>
            </w:pPr>
            <w:r w:rsidRPr="007523F3">
              <w:rPr>
                <w:color w:val="525252" w:themeColor="accent3" w:themeShade="80"/>
                <w:sz w:val="20"/>
                <w:szCs w:val="20"/>
              </w:rPr>
              <w:t>Environmental-level Focus: Campus,  all students</w:t>
            </w:r>
          </w:p>
          <w:p w:rsidR="00331BE0" w:rsidRPr="009C2623" w:rsidRDefault="00331BE0" w:rsidP="00362B2D">
            <w:pPr>
              <w:ind w:left="113" w:right="113"/>
              <w:rPr>
                <w:b w:val="0"/>
                <w:color w:val="808080" w:themeColor="background1" w:themeShade="80"/>
                <w:sz w:val="18"/>
                <w:szCs w:val="18"/>
              </w:rPr>
            </w:pPr>
            <w:r w:rsidRPr="007523F3">
              <w:rPr>
                <w:color w:val="525252" w:themeColor="accent3" w:themeShade="80"/>
                <w:sz w:val="20"/>
                <w:szCs w:val="20"/>
              </w:rPr>
              <w:t xml:space="preserve">Environmental-level Focus: Wider community </w:t>
            </w:r>
          </w:p>
        </w:tc>
        <w:tc>
          <w:tcPr>
            <w:tcW w:w="15137" w:type="dxa"/>
            <w:gridSpan w:val="9"/>
            <w:tcBorders>
              <w:top w:val="single" w:sz="12" w:space="0" w:color="A5A5A5" w:themeColor="accent3"/>
              <w:right w:val="single" w:sz="4" w:space="0" w:color="A5A5A5" w:themeColor="accent3"/>
            </w:tcBorders>
            <w:shd w:val="clear" w:color="auto" w:fill="FFFFFF" w:themeFill="background1"/>
          </w:tcPr>
          <w:tbl>
            <w:tblPr>
              <w:tblStyle w:val="PlainTable1"/>
              <w:tblW w:w="14911" w:type="dxa"/>
              <w:tblLook w:val="04A0" w:firstRow="1" w:lastRow="0" w:firstColumn="1" w:lastColumn="0" w:noHBand="0" w:noVBand="1"/>
            </w:tblPr>
            <w:tblGrid>
              <w:gridCol w:w="8753"/>
              <w:gridCol w:w="781"/>
              <w:gridCol w:w="5377"/>
            </w:tblGrid>
            <w:tr w:rsidR="0074728E" w:rsidTr="0074728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935" w:type="pct"/>
                  <w:tcBorders>
                    <w:left w:val="single" w:sz="4" w:space="0" w:color="A5A5A5" w:themeColor="accent3"/>
                    <w:bottom w:val="single" w:sz="12" w:space="0" w:color="A5A5A5" w:themeColor="accent3"/>
                    <w:right w:val="single" w:sz="4" w:space="0" w:color="A5A5A5" w:themeColor="accent3"/>
                  </w:tcBorders>
                </w:tcPr>
                <w:p w:rsidR="0074728E" w:rsidRPr="00331BE0" w:rsidRDefault="0074728E" w:rsidP="00196AE4">
                  <w:pPr>
                    <w:framePr w:hSpace="180" w:wrap="around" w:vAnchor="page" w:hAnchor="margin" w:y="361"/>
                    <w:spacing w:before="40" w:after="40"/>
                    <w:rPr>
                      <w:sz w:val="18"/>
                      <w:szCs w:val="18"/>
                    </w:rPr>
                  </w:pPr>
                  <w:r w:rsidRPr="007523F3">
                    <w:rPr>
                      <w:color w:val="525252" w:themeColor="accent3" w:themeShade="80"/>
                      <w:sz w:val="18"/>
                      <w:szCs w:val="18"/>
                    </w:rPr>
                    <w:t>Highly effective (as stand-alone components)</w:t>
                  </w:r>
                </w:p>
              </w:tc>
              <w:tc>
                <w:tcPr>
                  <w:tcW w:w="262" w:type="pct"/>
                  <w:vMerge w:val="restart"/>
                  <w:tcBorders>
                    <w:left w:val="single" w:sz="4" w:space="0" w:color="A5A5A5" w:themeColor="accent3"/>
                    <w:right w:val="single" w:sz="12" w:space="0" w:color="A5A5A5" w:themeColor="accent3"/>
                  </w:tcBorders>
                  <w:textDirection w:val="btLr"/>
                </w:tcPr>
                <w:p w:rsidR="0074728E" w:rsidRPr="007523F3" w:rsidRDefault="0074728E" w:rsidP="00196AE4">
                  <w:pPr>
                    <w:framePr w:hSpace="180" w:wrap="around" w:vAnchor="page" w:hAnchor="margin" w:y="361"/>
                    <w:ind w:left="113" w:right="113"/>
                    <w:cnfStyle w:val="100000000000" w:firstRow="1" w:lastRow="0" w:firstColumn="0" w:lastColumn="0" w:oddVBand="0" w:evenVBand="0" w:oddHBand="0" w:evenHBand="0" w:firstRowFirstColumn="0" w:firstRowLastColumn="0" w:lastRowFirstColumn="0" w:lastRowLastColumn="0"/>
                    <w:rPr>
                      <w:bCs w:val="0"/>
                      <w:color w:val="525252" w:themeColor="accent3" w:themeShade="80"/>
                      <w:sz w:val="20"/>
                      <w:szCs w:val="20"/>
                    </w:rPr>
                  </w:pPr>
                  <w:r w:rsidRPr="007523F3">
                    <w:rPr>
                      <w:bCs w:val="0"/>
                      <w:color w:val="525252" w:themeColor="accent3" w:themeShade="80"/>
                      <w:sz w:val="20"/>
                      <w:szCs w:val="20"/>
                    </w:rPr>
                    <w:t>Individual-level Focus:</w:t>
                  </w:r>
                </w:p>
                <w:p w:rsidR="0074728E" w:rsidRPr="00331BE0" w:rsidRDefault="0074728E" w:rsidP="00196AE4">
                  <w:pPr>
                    <w:framePr w:hSpace="180" w:wrap="around" w:vAnchor="page" w:hAnchor="margin" w:y="361"/>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7523F3">
                    <w:rPr>
                      <w:bCs w:val="0"/>
                      <w:color w:val="525252" w:themeColor="accent3" w:themeShade="80"/>
                      <w:sz w:val="20"/>
                      <w:szCs w:val="20"/>
                    </w:rPr>
                    <w:t>Individual students</w:t>
                  </w:r>
                </w:p>
              </w:tc>
              <w:tc>
                <w:tcPr>
                  <w:tcW w:w="1803" w:type="pct"/>
                  <w:vMerge w:val="restart"/>
                  <w:tcBorders>
                    <w:left w:val="single" w:sz="12" w:space="0" w:color="A5A5A5" w:themeColor="accent3"/>
                    <w:right w:val="single" w:sz="4" w:space="0" w:color="A5A5A5" w:themeColor="accent3"/>
                  </w:tcBorders>
                </w:tcPr>
                <w:tbl>
                  <w:tblPr>
                    <w:tblStyle w:val="PlainTable1"/>
                    <w:tblW w:w="0" w:type="auto"/>
                    <w:tblLook w:val="04A0" w:firstRow="1" w:lastRow="0" w:firstColumn="1" w:lastColumn="0" w:noHBand="0" w:noVBand="1"/>
                  </w:tblPr>
                  <w:tblGrid>
                    <w:gridCol w:w="5151"/>
                  </w:tblGrid>
                  <w:tr w:rsidR="0074728E" w:rsidTr="00955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8" w:type="dxa"/>
                      </w:tcPr>
                      <w:p w:rsidR="0074728E" w:rsidRPr="0074728E" w:rsidRDefault="0074728E" w:rsidP="00196AE4">
                        <w:pPr>
                          <w:framePr w:hSpace="180" w:wrap="around" w:vAnchor="page" w:hAnchor="margin" w:y="361"/>
                          <w:spacing w:before="40" w:after="40"/>
                          <w:rPr>
                            <w:sz w:val="18"/>
                            <w:szCs w:val="18"/>
                          </w:rPr>
                        </w:pPr>
                        <w:r w:rsidRPr="007523F3">
                          <w:rPr>
                            <w:color w:val="525252" w:themeColor="accent3" w:themeShade="80"/>
                            <w:sz w:val="18"/>
                            <w:szCs w:val="18"/>
                          </w:rPr>
                          <w:t>Highly effective (as stand-alone components)</w:t>
                        </w:r>
                      </w:p>
                    </w:tc>
                  </w:tr>
                  <w:tr w:rsidR="0074728E" w:rsidRPr="00285C76" w:rsidTr="0095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8" w:type="dxa"/>
                        <w:shd w:val="clear" w:color="auto" w:fill="DEEAF6" w:themeFill="accent1" w:themeFillTint="33"/>
                      </w:tcPr>
                      <w:p w:rsidR="0074728E" w:rsidRPr="0074728E" w:rsidRDefault="0074728E" w:rsidP="00196AE4">
                        <w:pPr>
                          <w:framePr w:hSpace="180" w:wrap="around" w:vAnchor="page" w:hAnchor="margin" w:y="361"/>
                          <w:spacing w:before="60"/>
                          <w:rPr>
                            <w:b w:val="0"/>
                            <w:sz w:val="18"/>
                            <w:szCs w:val="18"/>
                          </w:rPr>
                        </w:pPr>
                        <w:r w:rsidRPr="0074728E">
                          <w:rPr>
                            <w:b w:val="0"/>
                            <w:sz w:val="18"/>
                            <w:szCs w:val="18"/>
                          </w:rPr>
                          <w:t>Normative re-education – personalised normative feedback provides students with personalised information about their alcohol use compared with that of other students</w:t>
                        </w:r>
                      </w:p>
                      <w:p w:rsidR="0074728E" w:rsidRPr="0074728E" w:rsidRDefault="0074728E" w:rsidP="00196AE4">
                        <w:pPr>
                          <w:framePr w:hSpace="180" w:wrap="around" w:vAnchor="page" w:hAnchor="margin" w:y="361"/>
                          <w:spacing w:before="60"/>
                          <w:rPr>
                            <w:b w:val="0"/>
                            <w:sz w:val="18"/>
                            <w:szCs w:val="18"/>
                          </w:rPr>
                        </w:pPr>
                        <w:r w:rsidRPr="0074728E">
                          <w:rPr>
                            <w:b w:val="0"/>
                            <w:sz w:val="18"/>
                            <w:szCs w:val="18"/>
                          </w:rPr>
                          <w:t xml:space="preserve">Skills training, goal setting – students identified with an alcohol use problem set goals to limit their alcohol consumption (may include other life skills) </w:t>
                        </w:r>
                      </w:p>
                      <w:p w:rsidR="0074728E" w:rsidRPr="0074728E" w:rsidRDefault="0074728E" w:rsidP="00196AE4">
                        <w:pPr>
                          <w:framePr w:hSpace="180" w:wrap="around" w:vAnchor="page" w:hAnchor="margin" w:y="361"/>
                          <w:spacing w:before="60"/>
                          <w:rPr>
                            <w:b w:val="0"/>
                            <w:sz w:val="18"/>
                            <w:szCs w:val="18"/>
                          </w:rPr>
                        </w:pPr>
                        <w:r w:rsidRPr="0074728E">
                          <w:rPr>
                            <w:b w:val="0"/>
                            <w:sz w:val="18"/>
                            <w:szCs w:val="18"/>
                          </w:rPr>
                          <w:t>Brief motivational interventions, individual – emphasises self-efficacy and personal responsibility</w:t>
                        </w:r>
                      </w:p>
                      <w:p w:rsidR="0074728E" w:rsidRPr="0074728E" w:rsidRDefault="0074728E" w:rsidP="00196AE4">
                        <w:pPr>
                          <w:framePr w:hSpace="180" w:wrap="around" w:vAnchor="page" w:hAnchor="margin" w:y="361"/>
                          <w:spacing w:before="60" w:after="60"/>
                          <w:rPr>
                            <w:b w:val="0"/>
                            <w:sz w:val="18"/>
                            <w:szCs w:val="18"/>
                          </w:rPr>
                        </w:pPr>
                        <w:r w:rsidRPr="0074728E">
                          <w:rPr>
                            <w:b w:val="0"/>
                            <w:sz w:val="18"/>
                            <w:szCs w:val="18"/>
                          </w:rPr>
                          <w:t xml:space="preserve">Personalised feedback intervention – often web-based, these assessments generate personalised feedback </w:t>
                        </w:r>
                      </w:p>
                    </w:tc>
                  </w:tr>
                  <w:tr w:rsidR="0074728E" w:rsidRPr="00285C76" w:rsidTr="0074728E">
                    <w:tc>
                      <w:tcPr>
                        <w:cnfStyle w:val="001000000000" w:firstRow="0" w:lastRow="0" w:firstColumn="1" w:lastColumn="0" w:oddVBand="0" w:evenVBand="0" w:oddHBand="0" w:evenHBand="0" w:firstRowFirstColumn="0" w:firstRowLastColumn="0" w:lastRowFirstColumn="0" w:lastRowLastColumn="0"/>
                        <w:tcW w:w="15038" w:type="dxa"/>
                        <w:tcBorders>
                          <w:top w:val="single" w:sz="4" w:space="0" w:color="A5A5A5" w:themeColor="accent3"/>
                        </w:tcBorders>
                      </w:tcPr>
                      <w:p w:rsidR="0074728E" w:rsidRPr="0074728E" w:rsidRDefault="0074728E" w:rsidP="00196AE4">
                        <w:pPr>
                          <w:framePr w:hSpace="180" w:wrap="around" w:vAnchor="page" w:hAnchor="margin" w:y="361"/>
                          <w:spacing w:before="40" w:after="40"/>
                          <w:rPr>
                            <w:sz w:val="18"/>
                            <w:szCs w:val="18"/>
                          </w:rPr>
                        </w:pPr>
                        <w:r w:rsidRPr="007523F3">
                          <w:rPr>
                            <w:color w:val="525252" w:themeColor="accent3" w:themeShade="80"/>
                            <w:sz w:val="18"/>
                            <w:szCs w:val="18"/>
                          </w:rPr>
                          <w:t>Moderately effective (as stand-alone components)</w:t>
                        </w:r>
                      </w:p>
                    </w:tc>
                  </w:tr>
                  <w:tr w:rsidR="0074728E" w:rsidTr="0095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8" w:type="dxa"/>
                        <w:shd w:val="clear" w:color="auto" w:fill="DEEAF6" w:themeFill="accent1" w:themeFillTint="33"/>
                      </w:tcPr>
                      <w:p w:rsidR="0074728E" w:rsidRPr="0074728E" w:rsidRDefault="0074728E" w:rsidP="00196AE4">
                        <w:pPr>
                          <w:framePr w:hSpace="180" w:wrap="around" w:vAnchor="page" w:hAnchor="margin" w:y="361"/>
                          <w:spacing w:before="60"/>
                          <w:rPr>
                            <w:b w:val="0"/>
                            <w:sz w:val="18"/>
                            <w:szCs w:val="18"/>
                          </w:rPr>
                        </w:pPr>
                        <w:r w:rsidRPr="0074728E">
                          <w:rPr>
                            <w:b w:val="0"/>
                            <w:sz w:val="18"/>
                            <w:szCs w:val="18"/>
                          </w:rPr>
                          <w:t>Brief motivational interventions, group – emphasises self-efficacy and personal responsibility</w:t>
                        </w:r>
                      </w:p>
                      <w:p w:rsidR="0074728E" w:rsidRPr="0074728E" w:rsidRDefault="0074728E" w:rsidP="00196AE4">
                        <w:pPr>
                          <w:framePr w:hSpace="180" w:wrap="around" w:vAnchor="page" w:hAnchor="margin" w:y="361"/>
                          <w:spacing w:before="60"/>
                          <w:rPr>
                            <w:b w:val="0"/>
                            <w:sz w:val="18"/>
                            <w:szCs w:val="18"/>
                          </w:rPr>
                        </w:pPr>
                        <w:r w:rsidRPr="0074728E">
                          <w:rPr>
                            <w:b w:val="0"/>
                            <w:sz w:val="18"/>
                            <w:szCs w:val="18"/>
                          </w:rPr>
                          <w:t xml:space="preserve">Skills training, parent-based interventions which encourage parents to talk with their children about alcohol use </w:t>
                        </w:r>
                      </w:p>
                      <w:p w:rsidR="0074728E" w:rsidRPr="0074728E" w:rsidRDefault="0074728E" w:rsidP="00196AE4">
                        <w:pPr>
                          <w:framePr w:hSpace="180" w:wrap="around" w:vAnchor="page" w:hAnchor="margin" w:y="361"/>
                          <w:spacing w:before="60" w:after="60"/>
                          <w:rPr>
                            <w:b w:val="0"/>
                            <w:sz w:val="18"/>
                            <w:szCs w:val="18"/>
                          </w:rPr>
                        </w:pPr>
                        <w:r w:rsidRPr="0074728E">
                          <w:rPr>
                            <w:b w:val="0"/>
                            <w:sz w:val="18"/>
                            <w:szCs w:val="18"/>
                          </w:rPr>
                          <w:t>Skills training, expectancy challenge interventions – a process whereby positive expectancies about alcohol use are challenged</w:t>
                        </w:r>
                      </w:p>
                    </w:tc>
                  </w:tr>
                  <w:tr w:rsidR="0074728E" w:rsidRPr="00285C76" w:rsidTr="00955F6F">
                    <w:tc>
                      <w:tcPr>
                        <w:cnfStyle w:val="001000000000" w:firstRow="0" w:lastRow="0" w:firstColumn="1" w:lastColumn="0" w:oddVBand="0" w:evenVBand="0" w:oddHBand="0" w:evenHBand="0" w:firstRowFirstColumn="0" w:firstRowLastColumn="0" w:lastRowFirstColumn="0" w:lastRowLastColumn="0"/>
                        <w:tcW w:w="15038" w:type="dxa"/>
                      </w:tcPr>
                      <w:p w:rsidR="0074728E" w:rsidRPr="0074728E" w:rsidRDefault="0074728E" w:rsidP="00196AE4">
                        <w:pPr>
                          <w:framePr w:hSpace="180" w:wrap="around" w:vAnchor="page" w:hAnchor="margin" w:y="361"/>
                          <w:spacing w:before="40" w:after="40"/>
                          <w:rPr>
                            <w:rFonts w:eastAsia="Times New Roman" w:cs="Times New Roman"/>
                            <w:sz w:val="18"/>
                            <w:szCs w:val="18"/>
                            <w:lang w:val="en-US"/>
                          </w:rPr>
                        </w:pPr>
                        <w:r w:rsidRPr="007523F3">
                          <w:rPr>
                            <w:color w:val="525252" w:themeColor="accent3" w:themeShade="80"/>
                            <w:sz w:val="18"/>
                            <w:szCs w:val="18"/>
                          </w:rPr>
                          <w:t>Lower effectiveness (as stand-alone components)</w:t>
                        </w:r>
                      </w:p>
                    </w:tc>
                  </w:tr>
                  <w:tr w:rsidR="0074728E" w:rsidRPr="00F9381C" w:rsidTr="0095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8" w:type="dxa"/>
                        <w:shd w:val="clear" w:color="auto" w:fill="DEEAF6" w:themeFill="accent1" w:themeFillTint="33"/>
                      </w:tcPr>
                      <w:p w:rsidR="0074728E" w:rsidRPr="0074728E" w:rsidRDefault="0074728E" w:rsidP="00196AE4">
                        <w:pPr>
                          <w:framePr w:hSpace="180" w:wrap="around" w:vAnchor="page" w:hAnchor="margin" w:y="361"/>
                          <w:spacing w:before="60" w:after="60"/>
                          <w:rPr>
                            <w:rFonts w:eastAsia="Times New Roman" w:cs="Times New Roman"/>
                            <w:b w:val="0"/>
                            <w:sz w:val="18"/>
                            <w:szCs w:val="18"/>
                            <w:lang w:val="en-US"/>
                          </w:rPr>
                        </w:pPr>
                        <w:r w:rsidRPr="0074728E">
                          <w:rPr>
                            <w:rFonts w:eastAsia="Times New Roman" w:cs="Times New Roman"/>
                            <w:b w:val="0"/>
                            <w:sz w:val="18"/>
                            <w:szCs w:val="18"/>
                            <w:lang w:val="en-US"/>
                          </w:rPr>
                          <w:t>Normative re-education, electronic or mailed – specific warnings about excessive celebratory drinking (e.g. 21</w:t>
                        </w:r>
                        <w:r w:rsidRPr="0074728E">
                          <w:rPr>
                            <w:rFonts w:eastAsia="Times New Roman" w:cs="Times New Roman"/>
                            <w:b w:val="0"/>
                            <w:sz w:val="18"/>
                            <w:szCs w:val="18"/>
                            <w:vertAlign w:val="superscript"/>
                            <w:lang w:val="en-US"/>
                          </w:rPr>
                          <w:t>st</w:t>
                        </w:r>
                        <w:r w:rsidRPr="0074728E">
                          <w:rPr>
                            <w:rFonts w:eastAsia="Times New Roman" w:cs="Times New Roman"/>
                            <w:b w:val="0"/>
                            <w:sz w:val="18"/>
                            <w:szCs w:val="18"/>
                            <w:lang w:val="en-US"/>
                          </w:rPr>
                          <w:t xml:space="preserve"> birthdays)</w:t>
                        </w:r>
                      </w:p>
                    </w:tc>
                  </w:tr>
                  <w:tr w:rsidR="0074728E" w:rsidRPr="00F9381C" w:rsidTr="00955F6F">
                    <w:tc>
                      <w:tcPr>
                        <w:cnfStyle w:val="001000000000" w:firstRow="0" w:lastRow="0" w:firstColumn="1" w:lastColumn="0" w:oddVBand="0" w:evenVBand="0" w:oddHBand="0" w:evenHBand="0" w:firstRowFirstColumn="0" w:firstRowLastColumn="0" w:lastRowFirstColumn="0" w:lastRowLastColumn="0"/>
                        <w:tcW w:w="15038" w:type="dxa"/>
                        <w:shd w:val="clear" w:color="auto" w:fill="FFFFFF" w:themeFill="background1"/>
                      </w:tcPr>
                      <w:p w:rsidR="0074728E" w:rsidRPr="0074728E" w:rsidRDefault="0074728E" w:rsidP="00196AE4">
                        <w:pPr>
                          <w:framePr w:hSpace="180" w:wrap="around" w:vAnchor="page" w:hAnchor="margin" w:y="361"/>
                          <w:spacing w:before="40"/>
                          <w:rPr>
                            <w:rFonts w:eastAsia="Times New Roman" w:cs="Times New Roman"/>
                            <w:b w:val="0"/>
                            <w:sz w:val="18"/>
                            <w:szCs w:val="18"/>
                            <w:lang w:val="en-US"/>
                          </w:rPr>
                        </w:pPr>
                        <w:r w:rsidRPr="007523F3">
                          <w:rPr>
                            <w:color w:val="525252" w:themeColor="accent3" w:themeShade="80"/>
                            <w:sz w:val="18"/>
                            <w:szCs w:val="18"/>
                          </w:rPr>
                          <w:t>Effectiveness not yet rated, or mixed findings (as stand-alone components)</w:t>
                        </w:r>
                        <w:bookmarkStart w:id="0" w:name="_GoBack"/>
                        <w:bookmarkEnd w:id="0"/>
                      </w:p>
                    </w:tc>
                  </w:tr>
                  <w:tr w:rsidR="0074728E" w:rsidRPr="00F9381C" w:rsidTr="0095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8" w:type="dxa"/>
                        <w:shd w:val="clear" w:color="auto" w:fill="DEEAF6" w:themeFill="accent1" w:themeFillTint="33"/>
                      </w:tcPr>
                      <w:p w:rsidR="0074728E" w:rsidRPr="0074728E" w:rsidRDefault="0074728E" w:rsidP="00196AE4">
                        <w:pPr>
                          <w:framePr w:hSpace="180" w:wrap="around" w:vAnchor="page" w:hAnchor="margin" w:y="361"/>
                          <w:spacing w:before="60" w:after="60"/>
                          <w:rPr>
                            <w:rFonts w:eastAsia="Times New Roman" w:cs="Times New Roman"/>
                            <w:bCs w:val="0"/>
                            <w:sz w:val="18"/>
                            <w:szCs w:val="18"/>
                            <w:lang w:val="en-US"/>
                          </w:rPr>
                        </w:pPr>
                        <w:r w:rsidRPr="0074728E">
                          <w:rPr>
                            <w:rFonts w:eastAsia="Times New Roman" w:cs="Times New Roman"/>
                            <w:b w:val="0"/>
                            <w:sz w:val="18"/>
                            <w:szCs w:val="18"/>
                            <w:lang w:val="en-US"/>
                          </w:rPr>
                          <w:t xml:space="preserve">Skills training, alcohol focus – students are provided feedback on their actual Blood Alcohol Concentration </w:t>
                        </w:r>
                      </w:p>
                    </w:tc>
                  </w:tr>
                  <w:tr w:rsidR="0074728E" w:rsidRPr="00F9381C" w:rsidTr="00955F6F">
                    <w:tc>
                      <w:tcPr>
                        <w:cnfStyle w:val="001000000000" w:firstRow="0" w:lastRow="0" w:firstColumn="1" w:lastColumn="0" w:oddVBand="0" w:evenVBand="0" w:oddHBand="0" w:evenHBand="0" w:firstRowFirstColumn="0" w:firstRowLastColumn="0" w:lastRowFirstColumn="0" w:lastRowLastColumn="0"/>
                        <w:tcW w:w="15038" w:type="dxa"/>
                        <w:shd w:val="clear" w:color="auto" w:fill="FFFFFF" w:themeFill="background1"/>
                      </w:tcPr>
                      <w:p w:rsidR="0074728E" w:rsidRPr="0074728E" w:rsidRDefault="0074728E" w:rsidP="00196AE4">
                        <w:pPr>
                          <w:framePr w:hSpace="180" w:wrap="around" w:vAnchor="page" w:hAnchor="margin" w:y="361"/>
                          <w:spacing w:before="40"/>
                          <w:rPr>
                            <w:rFonts w:eastAsia="Times New Roman" w:cs="Times New Roman"/>
                            <w:sz w:val="18"/>
                            <w:szCs w:val="18"/>
                            <w:lang w:val="en-US"/>
                          </w:rPr>
                        </w:pPr>
                        <w:r w:rsidRPr="007523F3">
                          <w:rPr>
                            <w:color w:val="525252" w:themeColor="accent3" w:themeShade="80"/>
                            <w:sz w:val="18"/>
                            <w:szCs w:val="18"/>
                          </w:rPr>
                          <w:t>Not effective (as stand-alone components)</w:t>
                        </w:r>
                      </w:p>
                    </w:tc>
                  </w:tr>
                  <w:tr w:rsidR="0074728E" w:rsidRPr="00F9381C" w:rsidTr="007523F3">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15038" w:type="dxa"/>
                        <w:shd w:val="clear" w:color="auto" w:fill="DEEAF6" w:themeFill="accent1" w:themeFillTint="33"/>
                      </w:tcPr>
                      <w:p w:rsidR="0074728E" w:rsidRPr="0074728E" w:rsidRDefault="0074728E" w:rsidP="00196AE4">
                        <w:pPr>
                          <w:framePr w:hSpace="180" w:wrap="around" w:vAnchor="page" w:hAnchor="margin" w:y="361"/>
                          <w:spacing w:before="60"/>
                          <w:rPr>
                            <w:rFonts w:eastAsia="Times New Roman" w:cs="Times New Roman"/>
                            <w:b w:val="0"/>
                            <w:sz w:val="18"/>
                            <w:szCs w:val="18"/>
                            <w:lang w:val="en-US"/>
                          </w:rPr>
                        </w:pPr>
                        <w:r w:rsidRPr="0074728E">
                          <w:rPr>
                            <w:rFonts w:eastAsia="Times New Roman" w:cs="Times New Roman"/>
                            <w:b w:val="0"/>
                            <w:sz w:val="18"/>
                            <w:szCs w:val="18"/>
                            <w:lang w:val="en-US"/>
                          </w:rPr>
                          <w:t>Information/education</w:t>
                        </w:r>
                      </w:p>
                      <w:p w:rsidR="0074728E" w:rsidRPr="0074728E" w:rsidRDefault="0074728E" w:rsidP="00196AE4">
                        <w:pPr>
                          <w:framePr w:hSpace="180" w:wrap="around" w:vAnchor="page" w:hAnchor="margin" w:y="361"/>
                          <w:spacing w:before="60"/>
                          <w:rPr>
                            <w:rFonts w:eastAsia="Times New Roman" w:cs="Times New Roman"/>
                            <w:b w:val="0"/>
                            <w:sz w:val="18"/>
                            <w:szCs w:val="18"/>
                            <w:lang w:val="en-US"/>
                          </w:rPr>
                        </w:pPr>
                        <w:r w:rsidRPr="0074728E">
                          <w:rPr>
                            <w:rFonts w:eastAsia="Times New Roman" w:cs="Times New Roman"/>
                            <w:b w:val="0"/>
                            <w:sz w:val="18"/>
                            <w:szCs w:val="18"/>
                            <w:lang w:val="en-US"/>
                          </w:rPr>
                          <w:t>Values clarification – students are asked to consider their personal values and goals and are encouraged to incorporate responsible decision-making about alcohol use into their values/goals</w:t>
                        </w:r>
                      </w:p>
                    </w:tc>
                  </w:tr>
                </w:tbl>
                <w:p w:rsidR="0074728E" w:rsidRPr="00331BE0" w:rsidRDefault="0074728E" w:rsidP="00196AE4">
                  <w:pPr>
                    <w:framePr w:hSpace="180" w:wrap="around" w:vAnchor="page" w:hAnchor="margin" w:y="361"/>
                    <w:spacing w:before="60" w:after="60"/>
                    <w:cnfStyle w:val="100000000000" w:firstRow="1" w:lastRow="0" w:firstColumn="0" w:lastColumn="0" w:oddVBand="0" w:evenVBand="0" w:oddHBand="0" w:evenHBand="0" w:firstRowFirstColumn="0" w:firstRowLastColumn="0" w:lastRowFirstColumn="0" w:lastRowLastColumn="0"/>
                    <w:rPr>
                      <w:sz w:val="18"/>
                      <w:szCs w:val="18"/>
                    </w:rPr>
                  </w:pPr>
                </w:p>
              </w:tc>
            </w:tr>
            <w:tr w:rsidR="0074728E" w:rsidRPr="00285C76" w:rsidTr="0074728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bottom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rPr>
                      <w:b w:val="0"/>
                      <w:sz w:val="18"/>
                      <w:szCs w:val="18"/>
                    </w:rPr>
                  </w:pPr>
                  <w:r w:rsidRPr="00331BE0">
                    <w:rPr>
                      <w:b w:val="0"/>
                      <w:sz w:val="18"/>
                      <w:szCs w:val="18"/>
                    </w:rPr>
                    <w:t>Enforce drinking age</w:t>
                  </w:r>
                </w:p>
                <w:p w:rsidR="0074728E" w:rsidRPr="00331BE0" w:rsidRDefault="0074728E" w:rsidP="00196AE4">
                  <w:pPr>
                    <w:framePr w:hSpace="180" w:wrap="around" w:vAnchor="page" w:hAnchor="margin" w:y="361"/>
                    <w:rPr>
                      <w:b w:val="0"/>
                      <w:sz w:val="18"/>
                      <w:szCs w:val="18"/>
                    </w:rPr>
                  </w:pPr>
                  <w:r w:rsidRPr="00331BE0">
                    <w:rPr>
                      <w:b w:val="0"/>
                      <w:sz w:val="18"/>
                      <w:szCs w:val="18"/>
                    </w:rPr>
                    <w:t>Restrict happy hours/price promotions</w:t>
                  </w:r>
                  <w:r w:rsidRPr="00331BE0">
                    <w:rPr>
                      <w:rFonts w:eastAsia="Times New Roman" w:cs="Times New Roman"/>
                      <w:b w:val="0"/>
                      <w:sz w:val="18"/>
                      <w:szCs w:val="18"/>
                      <w:lang w:val="en-US"/>
                    </w:rPr>
                    <w:t xml:space="preserve"> - campus or locally agreed policy prevents any types of drink specials that might encourage students to drink more than they would normally</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b w:val="0"/>
                      <w:sz w:val="18"/>
                      <w:szCs w:val="18"/>
                    </w:rPr>
                    <w:t xml:space="preserve">Increase alcohol tax - </w:t>
                  </w:r>
                  <w:r w:rsidRPr="00331BE0">
                    <w:rPr>
                      <w:rFonts w:eastAsia="Times New Roman" w:cs="Times New Roman"/>
                      <w:b w:val="0"/>
                      <w:sz w:val="18"/>
                      <w:szCs w:val="18"/>
                      <w:lang w:val="en-US"/>
                    </w:rPr>
                    <w:t>government increases tax on the sale of alcohol – raises cost of consumption and makes excessive drinking less affordable (advocacy required at a national level)</w:t>
                  </w:r>
                </w:p>
              </w:tc>
              <w:tc>
                <w:tcPr>
                  <w:tcW w:w="262" w:type="pct"/>
                  <w:vMerge/>
                  <w:tcBorders>
                    <w:left w:val="single" w:sz="4" w:space="0" w:color="A5A5A5" w:themeColor="accent3"/>
                    <w:right w:val="single" w:sz="12" w:space="0" w:color="A5A5A5" w:themeColor="accent3"/>
                  </w:tcBorders>
                  <w:shd w:val="clear" w:color="auto" w:fill="DEEAF6" w:themeFill="accent1" w:themeFillTint="33"/>
                </w:tcPr>
                <w:p w:rsidR="0074728E"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b/>
                      <w:sz w:val="18"/>
                      <w:szCs w:val="18"/>
                    </w:rPr>
                  </w:pPr>
                </w:p>
              </w:tc>
              <w:tc>
                <w:tcPr>
                  <w:tcW w:w="1803" w:type="pct"/>
                  <w:vMerge/>
                  <w:tcBorders>
                    <w:left w:val="single" w:sz="12" w:space="0" w:color="A5A5A5" w:themeColor="accent3"/>
                    <w:right w:val="single" w:sz="4" w:space="0" w:color="A5A5A5" w:themeColor="accent3"/>
                  </w:tcBorders>
                  <w:shd w:val="clear" w:color="auto" w:fill="DEEAF6" w:themeFill="accent1" w:themeFillTint="33"/>
                </w:tcPr>
                <w:p w:rsidR="0074728E"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b/>
                      <w:sz w:val="18"/>
                      <w:szCs w:val="18"/>
                    </w:rPr>
                  </w:pPr>
                </w:p>
              </w:tc>
            </w:tr>
            <w:tr w:rsidR="0074728E" w:rsidRPr="00285C76" w:rsidTr="0074728E">
              <w:trPr>
                <w:trHeight w:val="279"/>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bottom w:val="single" w:sz="12" w:space="0" w:color="A5A5A5" w:themeColor="accent3"/>
                    <w:right w:val="single" w:sz="4" w:space="0" w:color="A5A5A5" w:themeColor="accent3"/>
                  </w:tcBorders>
                </w:tcPr>
                <w:p w:rsidR="0074728E" w:rsidRPr="00331BE0" w:rsidRDefault="0074728E" w:rsidP="00196AE4">
                  <w:pPr>
                    <w:framePr w:hSpace="180" w:wrap="around" w:vAnchor="page" w:hAnchor="margin" w:y="361"/>
                    <w:spacing w:before="40" w:after="40"/>
                    <w:rPr>
                      <w:sz w:val="18"/>
                      <w:szCs w:val="18"/>
                    </w:rPr>
                  </w:pPr>
                  <w:r w:rsidRPr="007523F3">
                    <w:rPr>
                      <w:color w:val="525252" w:themeColor="accent3" w:themeShade="80"/>
                      <w:sz w:val="18"/>
                      <w:szCs w:val="18"/>
                    </w:rPr>
                    <w:t>Moderately effective (as stand-alone components)</w:t>
                  </w:r>
                </w:p>
              </w:tc>
              <w:tc>
                <w:tcPr>
                  <w:tcW w:w="262" w:type="pct"/>
                  <w:vMerge/>
                  <w:tcBorders>
                    <w:left w:val="single" w:sz="4" w:space="0" w:color="A5A5A5" w:themeColor="accent3"/>
                    <w:right w:val="single" w:sz="12" w:space="0" w:color="A5A5A5" w:themeColor="accent3"/>
                  </w:tcBorders>
                </w:tcPr>
                <w:p w:rsidR="0074728E" w:rsidRPr="00331BE0" w:rsidRDefault="0074728E" w:rsidP="00196AE4">
                  <w:pPr>
                    <w:framePr w:hSpace="180" w:wrap="around" w:vAnchor="page" w:hAnchor="margin" w:y="361"/>
                    <w:spacing w:before="60" w:after="60"/>
                    <w:cnfStyle w:val="000000000000" w:firstRow="0" w:lastRow="0" w:firstColumn="0" w:lastColumn="0" w:oddVBand="0" w:evenVBand="0" w:oddHBand="0" w:evenHBand="0" w:firstRowFirstColumn="0" w:firstRowLastColumn="0" w:lastRowFirstColumn="0" w:lastRowLastColumn="0"/>
                    <w:rPr>
                      <w:sz w:val="18"/>
                      <w:szCs w:val="18"/>
                    </w:rPr>
                  </w:pPr>
                </w:p>
              </w:tc>
              <w:tc>
                <w:tcPr>
                  <w:tcW w:w="1803" w:type="pct"/>
                  <w:vMerge/>
                  <w:tcBorders>
                    <w:left w:val="single" w:sz="12" w:space="0" w:color="A5A5A5" w:themeColor="accent3"/>
                    <w:right w:val="single" w:sz="4" w:space="0" w:color="A5A5A5" w:themeColor="accent3"/>
                  </w:tcBorders>
                </w:tcPr>
                <w:p w:rsidR="0074728E" w:rsidRPr="00331BE0" w:rsidRDefault="0074728E" w:rsidP="00196AE4">
                  <w:pPr>
                    <w:framePr w:hSpace="180" w:wrap="around" w:vAnchor="page" w:hAnchor="margin" w:y="361"/>
                    <w:spacing w:before="60" w:after="60"/>
                    <w:cnfStyle w:val="000000000000" w:firstRow="0" w:lastRow="0" w:firstColumn="0" w:lastColumn="0" w:oddVBand="0" w:evenVBand="0" w:oddHBand="0" w:evenHBand="0" w:firstRowFirstColumn="0" w:firstRowLastColumn="0" w:lastRowFirstColumn="0" w:lastRowLastColumn="0"/>
                    <w:rPr>
                      <w:sz w:val="18"/>
                      <w:szCs w:val="18"/>
                    </w:rPr>
                  </w:pPr>
                </w:p>
              </w:tc>
            </w:tr>
            <w:tr w:rsidR="0074728E" w:rsidTr="0074728E">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bottom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rPr>
                      <w:rFonts w:eastAsia="Times New Roman" w:cs="Times New Roman"/>
                      <w:b w:val="0"/>
                      <w:sz w:val="18"/>
                      <w:szCs w:val="18"/>
                      <w:lang w:val="en-US"/>
                    </w:rPr>
                  </w:pPr>
                  <w:r w:rsidRPr="00331BE0">
                    <w:rPr>
                      <w:rFonts w:eastAsia="Times New Roman" w:cs="Times New Roman"/>
                      <w:b w:val="0"/>
                      <w:sz w:val="18"/>
                      <w:szCs w:val="18"/>
                      <w:lang w:val="en-US"/>
                    </w:rPr>
                    <w:t>Limit number/density of alcohol establishments - licensing/zoning laws etc. are used to reduce the number of licensed premises that may be in the community or area around a campus</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Enact social host provision laws – ensure hosts are aware of responsibilities in line with legislation</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 xml:space="preserve">Use responsible beverage service training laws - enacted at a local/national level this ensures that servers receive formal training on </w:t>
                  </w:r>
                  <w:proofErr w:type="spellStart"/>
                  <w:r w:rsidRPr="00331BE0">
                    <w:rPr>
                      <w:rFonts w:eastAsia="Times New Roman" w:cs="Times New Roman"/>
                      <w:b w:val="0"/>
                      <w:sz w:val="18"/>
                      <w:szCs w:val="18"/>
                      <w:lang w:val="en-US"/>
                    </w:rPr>
                    <w:t>recognising</w:t>
                  </w:r>
                  <w:proofErr w:type="spellEnd"/>
                  <w:r w:rsidRPr="00331BE0">
                    <w:rPr>
                      <w:rFonts w:eastAsia="Times New Roman" w:cs="Times New Roman"/>
                      <w:b w:val="0"/>
                      <w:sz w:val="18"/>
                      <w:szCs w:val="18"/>
                      <w:lang w:val="en-US"/>
                    </w:rPr>
                    <w:t xml:space="preserve"> intoxication, checking ID, intervention techniques etc.</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Retain or enact restrictions on hours of alcohol sales - campus and/or local authorities retain or enact policies that limit the hours during which alcohol may be sold legally</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Prohibit alcohol use/sales at campus sporting events - campus bans the sale and consumption of alcohol at sporting events</w:t>
                  </w:r>
                </w:p>
              </w:tc>
              <w:tc>
                <w:tcPr>
                  <w:tcW w:w="262" w:type="pct"/>
                  <w:vMerge/>
                  <w:tcBorders>
                    <w:left w:val="single" w:sz="4" w:space="0" w:color="A5A5A5" w:themeColor="accent3"/>
                    <w:right w:val="single" w:sz="12"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c>
                <w:tcPr>
                  <w:tcW w:w="1803" w:type="pct"/>
                  <w:vMerge/>
                  <w:tcBorders>
                    <w:left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r>
            <w:tr w:rsidR="0074728E" w:rsidRPr="00285C76" w:rsidTr="0074728E">
              <w:trPr>
                <w:trHeight w:val="279"/>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bottom w:val="single" w:sz="12" w:space="0" w:color="A5A5A5" w:themeColor="accent3"/>
                    <w:right w:val="single" w:sz="4" w:space="0" w:color="A5A5A5" w:themeColor="accent3"/>
                  </w:tcBorders>
                </w:tcPr>
                <w:p w:rsidR="0074728E" w:rsidRPr="00331BE0" w:rsidRDefault="0074728E" w:rsidP="00196AE4">
                  <w:pPr>
                    <w:framePr w:hSpace="180" w:wrap="around" w:vAnchor="page" w:hAnchor="margin" w:y="361"/>
                    <w:spacing w:before="40" w:after="20"/>
                    <w:rPr>
                      <w:rFonts w:eastAsia="Times New Roman" w:cs="Times New Roman"/>
                      <w:sz w:val="18"/>
                      <w:szCs w:val="18"/>
                      <w:lang w:val="en-US"/>
                    </w:rPr>
                  </w:pPr>
                  <w:r w:rsidRPr="007523F3">
                    <w:rPr>
                      <w:color w:val="525252" w:themeColor="accent3" w:themeShade="80"/>
                      <w:sz w:val="18"/>
                      <w:szCs w:val="18"/>
                    </w:rPr>
                    <w:t>Lower effectiveness (as stand-alone components)</w:t>
                  </w:r>
                </w:p>
              </w:tc>
              <w:tc>
                <w:tcPr>
                  <w:tcW w:w="262" w:type="pct"/>
                  <w:vMerge/>
                  <w:tcBorders>
                    <w:left w:val="single" w:sz="4" w:space="0" w:color="A5A5A5" w:themeColor="accent3"/>
                    <w:right w:val="single" w:sz="12" w:space="0" w:color="A5A5A5" w:themeColor="accent3"/>
                  </w:tcBorders>
                </w:tcPr>
                <w:p w:rsidR="0074728E" w:rsidRPr="00331BE0" w:rsidRDefault="0074728E" w:rsidP="00196AE4">
                  <w:pPr>
                    <w:framePr w:hSpace="180" w:wrap="around" w:vAnchor="page" w:hAnchor="margin" w:y="361"/>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n-US"/>
                    </w:rPr>
                  </w:pPr>
                </w:p>
              </w:tc>
              <w:tc>
                <w:tcPr>
                  <w:tcW w:w="1803" w:type="pct"/>
                  <w:vMerge/>
                  <w:tcBorders>
                    <w:left w:val="single" w:sz="12" w:space="0" w:color="A5A5A5" w:themeColor="accent3"/>
                    <w:right w:val="single" w:sz="4" w:space="0" w:color="A5A5A5" w:themeColor="accent3"/>
                  </w:tcBorders>
                </w:tcPr>
                <w:p w:rsidR="0074728E" w:rsidRPr="00331BE0" w:rsidRDefault="0074728E" w:rsidP="00196AE4">
                  <w:pPr>
                    <w:framePr w:hSpace="180" w:wrap="around" w:vAnchor="page" w:hAnchor="margin" w:y="361"/>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n-US"/>
                    </w:rPr>
                  </w:pPr>
                </w:p>
              </w:tc>
            </w:tr>
            <w:tr w:rsidR="0074728E" w:rsidRPr="00F9381C" w:rsidTr="0074728E">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bottom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rPr>
                      <w:rFonts w:eastAsia="Times New Roman" w:cs="Times New Roman"/>
                      <w:b w:val="0"/>
                      <w:sz w:val="18"/>
                      <w:szCs w:val="18"/>
                      <w:lang w:val="en-US"/>
                    </w:rPr>
                  </w:pPr>
                  <w:r w:rsidRPr="00331BE0">
                    <w:rPr>
                      <w:rFonts w:eastAsia="Times New Roman" w:cs="Times New Roman"/>
                      <w:b w:val="0"/>
                      <w:sz w:val="18"/>
                      <w:szCs w:val="18"/>
                      <w:lang w:val="en-US"/>
                    </w:rPr>
                    <w:t>Establish an alcohol-free campus</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Conduct campus-wide social norms campaign</w:t>
                  </w:r>
                </w:p>
                <w:p w:rsidR="0074728E" w:rsidRPr="00331BE0" w:rsidRDefault="0074728E" w:rsidP="00196AE4">
                  <w:pPr>
                    <w:framePr w:hSpace="180" w:wrap="around" w:vAnchor="page" w:hAnchor="margin" w:y="361"/>
                    <w:rPr>
                      <w:rFonts w:eastAsia="Times New Roman" w:cs="Times New Roman"/>
                      <w:b w:val="0"/>
                      <w:sz w:val="18"/>
                      <w:szCs w:val="18"/>
                      <w:lang w:val="en-US"/>
                    </w:rPr>
                  </w:pPr>
                  <w:r w:rsidRPr="00331BE0">
                    <w:rPr>
                      <w:rFonts w:eastAsia="Times New Roman" w:cs="Times New Roman"/>
                      <w:b w:val="0"/>
                      <w:sz w:val="18"/>
                      <w:szCs w:val="18"/>
                      <w:lang w:val="en-US"/>
                    </w:rPr>
                    <w:t>Restrict alcohol sponsorship and advertising</w:t>
                  </w:r>
                </w:p>
                <w:p w:rsidR="0074728E" w:rsidRPr="00331BE0" w:rsidRDefault="0074728E" w:rsidP="00196AE4">
                  <w:pPr>
                    <w:framePr w:hSpace="180" w:wrap="around" w:vAnchor="page" w:hAnchor="margin" w:y="361"/>
                    <w:rPr>
                      <w:rFonts w:eastAsia="Times New Roman" w:cs="Times New Roman"/>
                      <w:sz w:val="18"/>
                      <w:szCs w:val="18"/>
                      <w:lang w:val="en-US"/>
                    </w:rPr>
                  </w:pPr>
                  <w:r w:rsidRPr="00331BE0">
                    <w:rPr>
                      <w:rFonts w:eastAsia="Times New Roman" w:cs="Times New Roman"/>
                      <w:b w:val="0"/>
                      <w:sz w:val="18"/>
                      <w:szCs w:val="18"/>
                      <w:lang w:val="en-US"/>
                    </w:rPr>
                    <w:t xml:space="preserve">Implement beverage service training </w:t>
                  </w:r>
                  <w:proofErr w:type="spellStart"/>
                  <w:r w:rsidRPr="00331BE0">
                    <w:rPr>
                      <w:rFonts w:eastAsia="Times New Roman" w:cs="Times New Roman"/>
                      <w:b w:val="0"/>
                      <w:sz w:val="18"/>
                      <w:szCs w:val="18"/>
                      <w:lang w:val="en-US"/>
                    </w:rPr>
                    <w:t>programmes</w:t>
                  </w:r>
                  <w:proofErr w:type="spellEnd"/>
                </w:p>
              </w:tc>
              <w:tc>
                <w:tcPr>
                  <w:tcW w:w="262" w:type="pct"/>
                  <w:vMerge/>
                  <w:tcBorders>
                    <w:left w:val="single" w:sz="4" w:space="0" w:color="A5A5A5" w:themeColor="accent3"/>
                    <w:right w:val="single" w:sz="12"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c>
                <w:tcPr>
                  <w:tcW w:w="1803" w:type="pct"/>
                  <w:vMerge/>
                  <w:tcBorders>
                    <w:left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r>
            <w:tr w:rsidR="0074728E" w:rsidRPr="00F9381C" w:rsidTr="0074728E">
              <w:trPr>
                <w:trHeight w:val="240"/>
              </w:trPr>
              <w:tc>
                <w:tcPr>
                  <w:cnfStyle w:val="001000000000" w:firstRow="0" w:lastRow="0" w:firstColumn="1" w:lastColumn="0" w:oddVBand="0" w:evenVBand="0" w:oddHBand="0" w:evenHBand="0" w:firstRowFirstColumn="0" w:firstRowLastColumn="0" w:lastRowFirstColumn="0" w:lastRowLastColumn="0"/>
                  <w:tcW w:w="2935" w:type="pct"/>
                  <w:tcBorders>
                    <w:top w:val="single" w:sz="12" w:space="0" w:color="A5A5A5" w:themeColor="accent3"/>
                    <w:left w:val="single" w:sz="4" w:space="0" w:color="A5A5A5" w:themeColor="accent3"/>
                    <w:right w:val="single" w:sz="4" w:space="0" w:color="A5A5A5" w:themeColor="accent3"/>
                  </w:tcBorders>
                  <w:shd w:val="clear" w:color="auto" w:fill="FFFFFF" w:themeFill="background1"/>
                </w:tcPr>
                <w:p w:rsidR="0074728E" w:rsidRPr="00331BE0" w:rsidRDefault="0074728E" w:rsidP="00196AE4">
                  <w:pPr>
                    <w:framePr w:hSpace="180" w:wrap="around" w:vAnchor="page" w:hAnchor="margin" w:y="361"/>
                    <w:spacing w:before="40" w:after="20"/>
                    <w:rPr>
                      <w:rFonts w:eastAsia="Times New Roman" w:cs="Times New Roman"/>
                      <w:b w:val="0"/>
                      <w:sz w:val="18"/>
                      <w:szCs w:val="18"/>
                      <w:lang w:val="en-US"/>
                    </w:rPr>
                  </w:pPr>
                  <w:r w:rsidRPr="007523F3">
                    <w:rPr>
                      <w:color w:val="525252" w:themeColor="accent3" w:themeShade="80"/>
                      <w:sz w:val="18"/>
                      <w:szCs w:val="18"/>
                    </w:rPr>
                    <w:t>Effectiveness not yet rated, or findings are mixed (as stand-alone components)</w:t>
                  </w:r>
                </w:p>
              </w:tc>
              <w:tc>
                <w:tcPr>
                  <w:tcW w:w="262" w:type="pct"/>
                  <w:vMerge/>
                  <w:tcBorders>
                    <w:left w:val="single" w:sz="4" w:space="0" w:color="A5A5A5" w:themeColor="accent3"/>
                    <w:right w:val="single" w:sz="12" w:space="0" w:color="A5A5A5" w:themeColor="accent3"/>
                  </w:tcBorders>
                  <w:shd w:val="clear" w:color="auto" w:fill="FFFFFF" w:themeFill="background1"/>
                </w:tcPr>
                <w:p w:rsidR="0074728E" w:rsidRPr="00331BE0" w:rsidRDefault="0074728E" w:rsidP="00196AE4">
                  <w:pPr>
                    <w:framePr w:hSpace="180" w:wrap="around" w:vAnchor="page" w:hAnchor="margin" w:y="361"/>
                    <w:spacing w:before="6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n-US"/>
                    </w:rPr>
                  </w:pPr>
                </w:p>
              </w:tc>
              <w:tc>
                <w:tcPr>
                  <w:tcW w:w="1803" w:type="pct"/>
                  <w:vMerge/>
                  <w:tcBorders>
                    <w:left w:val="single" w:sz="12" w:space="0" w:color="A5A5A5" w:themeColor="accent3"/>
                    <w:right w:val="single" w:sz="4" w:space="0" w:color="A5A5A5" w:themeColor="accent3"/>
                  </w:tcBorders>
                  <w:shd w:val="clear" w:color="auto" w:fill="FFFFFF" w:themeFill="background1"/>
                </w:tcPr>
                <w:p w:rsidR="0074728E" w:rsidRPr="00331BE0" w:rsidRDefault="0074728E" w:rsidP="00196AE4">
                  <w:pPr>
                    <w:framePr w:hSpace="180" w:wrap="around" w:vAnchor="page" w:hAnchor="margin" w:y="361"/>
                    <w:spacing w:before="6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val="en-US"/>
                    </w:rPr>
                  </w:pPr>
                </w:p>
              </w:tc>
            </w:tr>
            <w:tr w:rsidR="0074728E" w:rsidRPr="00F9381C" w:rsidTr="00C74CDE">
              <w:trPr>
                <w:cnfStyle w:val="000000100000" w:firstRow="0" w:lastRow="0" w:firstColumn="0" w:lastColumn="0" w:oddVBand="0" w:evenVBand="0" w:oddHBand="1" w:evenHBand="0" w:firstRowFirstColumn="0" w:firstRowLastColumn="0" w:lastRowFirstColumn="0" w:lastRowLastColumn="0"/>
                <w:trHeight w:val="2342"/>
              </w:trPr>
              <w:tc>
                <w:tcPr>
                  <w:cnfStyle w:val="001000000000" w:firstRow="0" w:lastRow="0" w:firstColumn="1" w:lastColumn="0" w:oddVBand="0" w:evenVBand="0" w:oddHBand="0" w:evenHBand="0" w:firstRowFirstColumn="0" w:firstRowLastColumn="0" w:lastRowFirstColumn="0" w:lastRowLastColumn="0"/>
                  <w:tcW w:w="2935" w:type="pct"/>
                  <w:tcBorders>
                    <w:left w:val="single" w:sz="4" w:space="0" w:color="A5A5A5" w:themeColor="accent3"/>
                    <w:right w:val="single" w:sz="4" w:space="0" w:color="A5A5A5" w:themeColor="accent3"/>
                  </w:tcBorders>
                  <w:shd w:val="clear" w:color="auto" w:fill="DEEAF6" w:themeFill="accent1" w:themeFillTint="33"/>
                </w:tcPr>
                <w:p w:rsidR="0074728E"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Alcohol-free programming – a campus hosts alcohol-free events</w:t>
                  </w:r>
                </w:p>
                <w:p w:rsidR="0074728E"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Prohibit alcohol use/service at campus social events</w:t>
                  </w:r>
                </w:p>
                <w:p w:rsidR="0074728E"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Implement bystander interventions</w:t>
                  </w:r>
                </w:p>
                <w:p w:rsidR="0074728E"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Require student attendance at Friday morning classes</w:t>
                  </w:r>
                </w:p>
                <w:p w:rsidR="0074728E"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Establish standards for alcohol service at campus social events – e.g. limiting the number of alcoholic beverages per person, require beverage service training</w:t>
                  </w:r>
                </w:p>
                <w:p w:rsidR="002D5528" w:rsidRPr="002D5528" w:rsidRDefault="0074728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b w:val="0"/>
                      <w:sz w:val="18"/>
                      <w:szCs w:val="18"/>
                      <w:lang w:val="en-US"/>
                    </w:rPr>
                    <w:t>Require residential halls to be substance-free</w:t>
                  </w:r>
                </w:p>
                <w:p w:rsidR="0074728E" w:rsidRPr="00331BE0" w:rsidRDefault="00C74CDE" w:rsidP="00196AE4">
                  <w:pPr>
                    <w:framePr w:hSpace="180" w:wrap="around" w:vAnchor="page" w:hAnchor="margin" w:y="361"/>
                    <w:spacing w:before="60"/>
                    <w:rPr>
                      <w:rFonts w:eastAsia="Times New Roman" w:cs="Times New Roman"/>
                      <w:b w:val="0"/>
                      <w:sz w:val="18"/>
                      <w:szCs w:val="18"/>
                      <w:lang w:val="en-US"/>
                    </w:rPr>
                  </w:pPr>
                  <w:r w:rsidRPr="002D5528">
                    <w:rPr>
                      <w:rFonts w:eastAsia="Times New Roman" w:cs="Times New Roman"/>
                      <w:noProof/>
                      <w:sz w:val="18"/>
                      <w:szCs w:val="18"/>
                      <w:lang w:eastAsia="en-NZ"/>
                    </w:rPr>
                    <mc:AlternateContent>
                      <mc:Choice Requires="wps">
                        <w:drawing>
                          <wp:anchor distT="45720" distB="45720" distL="114300" distR="114300" simplePos="0" relativeHeight="251659264" behindDoc="1" locked="0" layoutInCell="1" allowOverlap="1" wp14:anchorId="72199805" wp14:editId="5AE9E9A2">
                            <wp:simplePos x="0" y="0"/>
                            <wp:positionH relativeFrom="column">
                              <wp:posOffset>1022614</wp:posOffset>
                            </wp:positionH>
                            <wp:positionV relativeFrom="paragraph">
                              <wp:posOffset>229235</wp:posOffset>
                            </wp:positionV>
                            <wp:extent cx="3467100" cy="198120"/>
                            <wp:effectExtent l="0" t="0" r="0" b="0"/>
                            <wp:wrapTight wrapText="bothSides">
                              <wp:wrapPolygon edited="0">
                                <wp:start x="0" y="0"/>
                                <wp:lineTo x="0" y="18692"/>
                                <wp:lineTo x="21481" y="18692"/>
                                <wp:lineTo x="214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8120"/>
                                    </a:xfrm>
                                    <a:prstGeom prst="rect">
                                      <a:avLst/>
                                    </a:prstGeom>
                                    <a:solidFill>
                                      <a:srgbClr val="FFFFFF"/>
                                    </a:solidFill>
                                    <a:ln w="9525">
                                      <a:noFill/>
                                      <a:miter lim="800000"/>
                                      <a:headEnd/>
                                      <a:tailEnd/>
                                    </a:ln>
                                  </wps:spPr>
                                  <wps:txbx>
                                    <w:txbxContent>
                                      <w:p w:rsidR="0074728E" w:rsidRPr="00C74CDE" w:rsidRDefault="002D5528" w:rsidP="007523F3">
                                        <w:pPr>
                                          <w:shd w:val="clear" w:color="auto" w:fill="FFFFFF" w:themeFill="background1"/>
                                          <w:spacing w:after="0"/>
                                          <w:rPr>
                                            <w:sz w:val="14"/>
                                            <w:szCs w:val="14"/>
                                            <w:lang w:val="mi-NZ"/>
                                          </w:rPr>
                                        </w:pPr>
                                        <w:r w:rsidRPr="00C74CDE">
                                          <w:rPr>
                                            <w:sz w:val="14"/>
                                            <w:szCs w:val="14"/>
                                            <w:lang w:val="mi-NZ"/>
                                          </w:rPr>
                                          <w:t>Summarised from CollegeAIM http://www.collegedrinkingprevention.gov/CollegeAIM/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99805" id="_x0000_t202" coordsize="21600,21600" o:spt="202" path="m,l,21600r21600,l21600,xe">
                            <v:stroke joinstyle="miter"/>
                            <v:path gradientshapeok="t" o:connecttype="rect"/>
                          </v:shapetype>
                          <v:shape id="Text Box 2" o:spid="_x0000_s1026" type="#_x0000_t202" style="position:absolute;margin-left:80.5pt;margin-top:18.05pt;width:273pt;height:1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CzIAIAAB0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fnazKHIMcYwVq2UxTc3LWPl82zofPgnQJC4q6rD3CZ0d&#10;H3yIbFj5nBIf86Bks5NKpY3b11vlyJGhT3ZppAJepSlD+oqu5tN5QjYQ7ycLaRnQx0rqii7zOEZn&#10;RTU+mialBCbVuEYmypzliYqM2oShHjAxalZDc0KhHIx+xf+Fiw7cb0p69GpF/a8Dc4IS9dmg2Kti&#10;NovmTpvZfIHSEHcdqa8jzHCEqmigZFxuQ/oQUQcDd9iUVia9XpicuaIHk4zn/xJNfr1PWS+/evMH&#10;AAD//wMAUEsDBBQABgAIAAAAIQD1lWWh3AAAAAkBAAAPAAAAZHJzL2Rvd25yZXYueG1sTI/BTsMw&#10;EETvSPyDtUhcEHVCwYYQpwIkENeWfsAmdpOIeB3FbpP+PcsJjjM7mn1TbhY/iJObYh/IQL7KQDhq&#10;gu2pNbD/er99BBETksUhkDNwdhE21eVFiYUNM23daZdawSUUCzTQpTQWUsamcx7jKoyO+HYIk8fE&#10;cmqlnXDmcj/IuyxT0mNP/KHD0b11rvneHb2Bw+d88/A01x9pr7f36hV7XYezMddXy8sziOSW9BeG&#10;X3xGh4qZ6nAkG8XAWuW8JRlYqxwEB3Sm2agNKL0GWZXy/4LqBwAA//8DAFBLAQItABQABgAIAAAA&#10;IQC2gziS/gAAAOEBAAATAAAAAAAAAAAAAAAAAAAAAABbQ29udGVudF9UeXBlc10ueG1sUEsBAi0A&#10;FAAGAAgAAAAhADj9If/WAAAAlAEAAAsAAAAAAAAAAAAAAAAALwEAAF9yZWxzLy5yZWxzUEsBAi0A&#10;FAAGAAgAAAAhAHU7gLMgAgAAHQQAAA4AAAAAAAAAAAAAAAAALgIAAGRycy9lMm9Eb2MueG1sUEsB&#10;Ai0AFAAGAAgAAAAhAPWVZaHcAAAACQEAAA8AAAAAAAAAAAAAAAAAegQAAGRycy9kb3ducmV2Lnht&#10;bFBLBQYAAAAABAAEAPMAAACDBQAAAAA=&#10;" stroked="f">
                            <v:textbox>
                              <w:txbxContent>
                                <w:p w:rsidR="0074728E" w:rsidRPr="00C74CDE" w:rsidRDefault="002D5528" w:rsidP="007523F3">
                                  <w:pPr>
                                    <w:shd w:val="clear" w:color="auto" w:fill="FFFFFF" w:themeFill="background1"/>
                                    <w:spacing w:after="0"/>
                                    <w:rPr>
                                      <w:sz w:val="14"/>
                                      <w:szCs w:val="14"/>
                                      <w:lang w:val="mi-NZ"/>
                                    </w:rPr>
                                  </w:pPr>
                                  <w:r w:rsidRPr="00C74CDE">
                                    <w:rPr>
                                      <w:sz w:val="14"/>
                                      <w:szCs w:val="14"/>
                                      <w:lang w:val="mi-NZ"/>
                                    </w:rPr>
                                    <w:t>Summarised from CollegeAIM http://www.collegedrinkingprevention.gov/CollegeAIM/</w:t>
                                  </w:r>
                                </w:p>
                              </w:txbxContent>
                            </v:textbox>
                            <w10:wrap type="tight"/>
                          </v:shape>
                        </w:pict>
                      </mc:Fallback>
                    </mc:AlternateContent>
                  </w:r>
                  <w:r w:rsidR="0074728E" w:rsidRPr="002D5528">
                    <w:rPr>
                      <w:rFonts w:eastAsia="Times New Roman" w:cs="Times New Roman"/>
                      <w:b w:val="0"/>
                      <w:sz w:val="18"/>
                      <w:szCs w:val="18"/>
                      <w:lang w:val="en-US"/>
                    </w:rPr>
                    <w:t>Implement party patrols – teams visit locations where reports of noisy parties or other complaints have been made</w:t>
                  </w:r>
                </w:p>
              </w:tc>
              <w:tc>
                <w:tcPr>
                  <w:tcW w:w="262" w:type="pct"/>
                  <w:vMerge/>
                  <w:tcBorders>
                    <w:left w:val="single" w:sz="4" w:space="0" w:color="A5A5A5" w:themeColor="accent3"/>
                    <w:right w:val="single" w:sz="12"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c>
                <w:tcPr>
                  <w:tcW w:w="1803" w:type="pct"/>
                  <w:vMerge/>
                  <w:tcBorders>
                    <w:left w:val="single" w:sz="12" w:space="0" w:color="A5A5A5" w:themeColor="accent3"/>
                    <w:right w:val="single" w:sz="4" w:space="0" w:color="A5A5A5" w:themeColor="accent3"/>
                  </w:tcBorders>
                  <w:shd w:val="clear" w:color="auto" w:fill="DEEAF6" w:themeFill="accent1" w:themeFillTint="33"/>
                </w:tcPr>
                <w:p w:rsidR="0074728E" w:rsidRPr="00331BE0" w:rsidRDefault="0074728E" w:rsidP="00196AE4">
                  <w:pPr>
                    <w:framePr w:hSpace="180" w:wrap="around" w:vAnchor="page" w:hAnchor="margin" w:y="361"/>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val="en-US"/>
                    </w:rPr>
                  </w:pPr>
                </w:p>
              </w:tc>
            </w:tr>
          </w:tbl>
          <w:p w:rsidR="00331BE0" w:rsidRDefault="00331BE0" w:rsidP="00331BE0">
            <w:pPr>
              <w:cnfStyle w:val="000000000000" w:firstRow="0" w:lastRow="0" w:firstColumn="0" w:lastColumn="0" w:oddVBand="0" w:evenVBand="0" w:oddHBand="0" w:evenHBand="0" w:firstRowFirstColumn="0" w:firstRowLastColumn="0" w:lastRowFirstColumn="0" w:lastRowLastColumn="0"/>
            </w:pPr>
          </w:p>
        </w:tc>
      </w:tr>
    </w:tbl>
    <w:p w:rsidR="0049351C" w:rsidRDefault="0049351C" w:rsidP="007523F3"/>
    <w:sectPr w:rsidR="0049351C" w:rsidSect="00C13DF4">
      <w:pgSz w:w="16838" w:h="11906" w:orient="landscape"/>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AA"/>
    <w:rsid w:val="00012D46"/>
    <w:rsid w:val="00196AE4"/>
    <w:rsid w:val="001E568F"/>
    <w:rsid w:val="002D5528"/>
    <w:rsid w:val="00331BE0"/>
    <w:rsid w:val="00353234"/>
    <w:rsid w:val="00362B2D"/>
    <w:rsid w:val="00387575"/>
    <w:rsid w:val="0049351C"/>
    <w:rsid w:val="00533F3D"/>
    <w:rsid w:val="0068216A"/>
    <w:rsid w:val="006A6848"/>
    <w:rsid w:val="0074728E"/>
    <w:rsid w:val="007523F3"/>
    <w:rsid w:val="00784FE3"/>
    <w:rsid w:val="008E47B5"/>
    <w:rsid w:val="009C2623"/>
    <w:rsid w:val="00A22512"/>
    <w:rsid w:val="00AC4057"/>
    <w:rsid w:val="00C13DF4"/>
    <w:rsid w:val="00C74CDE"/>
    <w:rsid w:val="00CF01AA"/>
    <w:rsid w:val="00DA07BF"/>
    <w:rsid w:val="00DB7FF2"/>
    <w:rsid w:val="00E02711"/>
    <w:rsid w:val="00F06D35"/>
    <w:rsid w:val="00F4517C"/>
    <w:rsid w:val="00F71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901D-7802-4B76-AF32-A8B6E6E6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CF01A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CF01A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5">
    <w:name w:val="Grid Table 6 Colorful Accent 5"/>
    <w:basedOn w:val="TableNormal"/>
    <w:uiPriority w:val="51"/>
    <w:rsid w:val="00CF01AA"/>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CF01AA"/>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F01A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0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749BB7CD</Template>
  <TotalTime>335</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Laurie</dc:creator>
  <cp:keywords/>
  <dc:description/>
  <cp:lastModifiedBy>Nicola Laurie</cp:lastModifiedBy>
  <cp:revision>9</cp:revision>
  <cp:lastPrinted>2015-11-04T03:55:00Z</cp:lastPrinted>
  <dcterms:created xsi:type="dcterms:W3CDTF">2015-11-02T02:19:00Z</dcterms:created>
  <dcterms:modified xsi:type="dcterms:W3CDTF">2015-11-04T19:31:00Z</dcterms:modified>
</cp:coreProperties>
</file>